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4AA" w14:textId="77777777" w:rsidR="00AD533F" w:rsidRDefault="00000000">
      <w:pPr>
        <w:pStyle w:val="Tekstpodstawowy"/>
        <w:ind w:left="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FB3DFE" wp14:editId="2985DEF7">
            <wp:extent cx="1998767" cy="2940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767" cy="29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A2CCE" w14:textId="77777777" w:rsidR="00AD533F" w:rsidRDefault="00AD533F">
      <w:pPr>
        <w:pStyle w:val="Tekstpodstawowy"/>
        <w:rPr>
          <w:rFonts w:ascii="Times New Roman"/>
        </w:rPr>
      </w:pPr>
    </w:p>
    <w:p w14:paraId="27C5CCE1" w14:textId="77777777" w:rsidR="00AD533F" w:rsidRDefault="00AD533F">
      <w:pPr>
        <w:pStyle w:val="Tekstpodstawowy"/>
        <w:spacing w:before="132"/>
        <w:rPr>
          <w:rFonts w:ascii="Times New Roman"/>
        </w:rPr>
      </w:pPr>
    </w:p>
    <w:p w14:paraId="6A5198E5" w14:textId="052F9BF3" w:rsidR="00AD533F" w:rsidRDefault="0084756B">
      <w:pPr>
        <w:pStyle w:val="Tekstpodstawowy"/>
        <w:spacing w:before="1"/>
        <w:ind w:right="106"/>
        <w:jc w:val="right"/>
      </w:pPr>
      <w:r>
        <w:rPr>
          <w:color w:val="000009"/>
        </w:rPr>
        <w:t>Lublin</w:t>
      </w:r>
      <w:r w:rsidR="00802FA2">
        <w:rPr>
          <w:color w:val="000009"/>
        </w:rPr>
        <w:t xml:space="preserve"> 22</w:t>
      </w:r>
      <w:r w:rsidR="00C34EB0">
        <w:rPr>
          <w:color w:val="000009"/>
        </w:rPr>
        <w:t>.</w:t>
      </w:r>
      <w:r w:rsidR="00802FA2">
        <w:rPr>
          <w:color w:val="000009"/>
        </w:rPr>
        <w:t>05.</w:t>
      </w:r>
      <w:r w:rsidR="00C34EB0">
        <w:rPr>
          <w:color w:val="000009"/>
        </w:rPr>
        <w:t>2026</w:t>
      </w:r>
      <w:r>
        <w:rPr>
          <w:color w:val="000009"/>
          <w:spacing w:val="-5"/>
        </w:rPr>
        <w:t xml:space="preserve"> r.</w:t>
      </w:r>
    </w:p>
    <w:p w14:paraId="57637C21" w14:textId="77777777" w:rsidR="00AD533F" w:rsidRDefault="00000000">
      <w:pPr>
        <w:pStyle w:val="Tekstpodstawowy"/>
        <w:spacing w:before="158"/>
        <w:ind w:left="823"/>
      </w:pPr>
      <w:r>
        <w:rPr>
          <w:color w:val="000009"/>
        </w:rPr>
        <w:t>Szanowni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Państwo,</w:t>
      </w:r>
    </w:p>
    <w:p w14:paraId="1E9DF042" w14:textId="77777777" w:rsidR="00AD533F" w:rsidRDefault="00AD533F">
      <w:pPr>
        <w:pStyle w:val="Tekstpodstawowy"/>
      </w:pPr>
    </w:p>
    <w:p w14:paraId="2C16C787" w14:textId="77777777" w:rsidR="00AD533F" w:rsidRDefault="00AD533F">
      <w:pPr>
        <w:pStyle w:val="Tekstpodstawowy"/>
        <w:spacing w:before="51"/>
      </w:pPr>
    </w:p>
    <w:p w14:paraId="11BE50D7" w14:textId="34BC57C9" w:rsidR="00AD533F" w:rsidRDefault="00000000" w:rsidP="004464FE">
      <w:pPr>
        <w:pStyle w:val="Tekstpodstawowy"/>
        <w:ind w:left="115" w:right="156" w:firstLine="708"/>
      </w:pPr>
      <w:r>
        <w:rPr>
          <w:color w:val="000009"/>
        </w:rPr>
        <w:t xml:space="preserve">W związku ze </w:t>
      </w:r>
      <w:r w:rsidR="004464FE">
        <w:rPr>
          <w:color w:val="000009"/>
        </w:rPr>
        <w:t>zbliżającym</w:t>
      </w:r>
      <w:r w:rsidR="00802FA2">
        <w:rPr>
          <w:color w:val="000009"/>
        </w:rPr>
        <w:t xml:space="preserve"> się świętem Bożego Ciała </w:t>
      </w:r>
      <w:r w:rsidR="004464FE">
        <w:rPr>
          <w:color w:val="000009"/>
        </w:rPr>
        <w:t>pragniemy poinformować</w:t>
      </w:r>
      <w:r w:rsidR="00FA68D3">
        <w:rPr>
          <w:color w:val="000009"/>
        </w:rPr>
        <w:t xml:space="preserve"> o ograniczeniach w przyjmowaniu materiału przez</w:t>
      </w:r>
      <w:r w:rsidR="00FA68D3" w:rsidRPr="00FA68D3">
        <w:t xml:space="preserve"> </w:t>
      </w:r>
      <w:r w:rsidR="00FA68D3" w:rsidRPr="00FA68D3">
        <w:rPr>
          <w:color w:val="000009"/>
        </w:rPr>
        <w:t>Laboratorium Centraln</w:t>
      </w:r>
      <w:r w:rsidR="00BC3B24">
        <w:rPr>
          <w:color w:val="000009"/>
        </w:rPr>
        <w:t>e</w:t>
      </w:r>
      <w:r w:rsidR="00FA68D3" w:rsidRPr="00FA68D3">
        <w:rPr>
          <w:color w:val="000009"/>
        </w:rPr>
        <w:t xml:space="preserve"> w Lublinie</w:t>
      </w:r>
      <w:r w:rsidR="00FA68D3">
        <w:rPr>
          <w:color w:val="000009"/>
        </w:rPr>
        <w:t xml:space="preserve"> zgodnie z tabelk</w:t>
      </w:r>
      <w:r w:rsidR="00AE1757">
        <w:rPr>
          <w:color w:val="000009"/>
        </w:rPr>
        <w:t>ami</w:t>
      </w:r>
      <w:r w:rsidR="00FA68D3">
        <w:rPr>
          <w:color w:val="000009"/>
        </w:rPr>
        <w:t xml:space="preserve">. </w:t>
      </w:r>
      <w:r w:rsidR="004464FE">
        <w:rPr>
          <w:color w:val="000009"/>
        </w:rPr>
        <w:t>Prosimy pamiętać o odpowiednim zabezpieczeniu materiału</w:t>
      </w:r>
      <w:r w:rsidR="00F81CD5">
        <w:rPr>
          <w:color w:val="000009"/>
        </w:rPr>
        <w:t>.</w:t>
      </w:r>
      <w:r w:rsidR="004464FE">
        <w:rPr>
          <w:color w:val="000009"/>
        </w:rPr>
        <w:t xml:space="preserve"> </w:t>
      </w:r>
    </w:p>
    <w:p w14:paraId="4D30010D" w14:textId="77777777" w:rsidR="00AD533F" w:rsidRDefault="00AD533F">
      <w:pPr>
        <w:pStyle w:val="Tekstpodstawowy"/>
      </w:pPr>
    </w:p>
    <w:p w14:paraId="75261CD2" w14:textId="77777777" w:rsidR="007C7483" w:rsidRDefault="007C7483">
      <w:pPr>
        <w:pStyle w:val="Tekstpodstawowy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259"/>
        <w:gridCol w:w="4956"/>
      </w:tblGrid>
      <w:tr w:rsidR="007C7483" w14:paraId="05E199B5" w14:textId="77777777" w:rsidTr="006A3DDD">
        <w:trPr>
          <w:trHeight w:val="696"/>
        </w:trPr>
        <w:tc>
          <w:tcPr>
            <w:tcW w:w="847" w:type="dxa"/>
          </w:tcPr>
          <w:p w14:paraId="0CFABB7F" w14:textId="77777777" w:rsidR="007C7483" w:rsidRDefault="007C7483" w:rsidP="006A3DDD">
            <w:pPr>
              <w:pStyle w:val="TableParagraph"/>
              <w:ind w:left="108" w:right="234"/>
            </w:pPr>
            <w:r>
              <w:rPr>
                <w:color w:val="000009"/>
                <w:spacing w:val="-4"/>
              </w:rPr>
              <w:t xml:space="preserve">Kod </w:t>
            </w:r>
            <w:r>
              <w:rPr>
                <w:color w:val="000009"/>
                <w:spacing w:val="-2"/>
              </w:rPr>
              <w:t>e-Lab</w:t>
            </w:r>
          </w:p>
        </w:tc>
        <w:tc>
          <w:tcPr>
            <w:tcW w:w="3259" w:type="dxa"/>
          </w:tcPr>
          <w:p w14:paraId="09F7A61F" w14:textId="77777777" w:rsidR="007C7483" w:rsidRDefault="007C7483" w:rsidP="006A3DDD">
            <w:pPr>
              <w:pStyle w:val="TableParagraph"/>
              <w:spacing w:line="268" w:lineRule="exact"/>
              <w:ind w:left="105"/>
            </w:pPr>
            <w:r>
              <w:rPr>
                <w:color w:val="000009"/>
              </w:rPr>
              <w:t>Nazwa</w:t>
            </w:r>
            <w:r>
              <w:rPr>
                <w:color w:val="000009"/>
                <w:spacing w:val="-2"/>
              </w:rPr>
              <w:t xml:space="preserve"> badania</w:t>
            </w:r>
          </w:p>
        </w:tc>
        <w:tc>
          <w:tcPr>
            <w:tcW w:w="4956" w:type="dxa"/>
          </w:tcPr>
          <w:p w14:paraId="7CACA277" w14:textId="77777777" w:rsidR="007C7483" w:rsidRDefault="007C7483" w:rsidP="006A3DDD">
            <w:pPr>
              <w:pStyle w:val="TableParagraph"/>
              <w:ind w:right="106"/>
            </w:pPr>
            <w:r>
              <w:rPr>
                <w:color w:val="000009"/>
              </w:rPr>
              <w:t>Okres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przyjmowania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badań-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data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dotarcia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materiału do Laboratorium w Lublinie</w:t>
            </w:r>
          </w:p>
        </w:tc>
      </w:tr>
      <w:tr w:rsidR="000B4386" w14:paraId="49A28883" w14:textId="77777777" w:rsidTr="00081327">
        <w:trPr>
          <w:trHeight w:val="4028"/>
        </w:trPr>
        <w:tc>
          <w:tcPr>
            <w:tcW w:w="847" w:type="dxa"/>
          </w:tcPr>
          <w:p w14:paraId="3B2CE85A" w14:textId="77777777" w:rsidR="000B4386" w:rsidRDefault="000B4386" w:rsidP="006A3DDD">
            <w:pPr>
              <w:pStyle w:val="TableParagraph"/>
              <w:spacing w:before="1"/>
              <w:ind w:left="108"/>
            </w:pPr>
            <w:r>
              <w:t>4877</w:t>
            </w:r>
          </w:p>
          <w:p w14:paraId="197E438E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44DAA042" w14:textId="477974AF" w:rsidR="000B4386" w:rsidRDefault="000B4386" w:rsidP="006A3DDD">
            <w:pPr>
              <w:pStyle w:val="TableParagraph"/>
              <w:spacing w:before="1"/>
              <w:ind w:left="108"/>
            </w:pPr>
            <w:r>
              <w:t>353</w:t>
            </w:r>
          </w:p>
          <w:p w14:paraId="1242DC78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2A10AEED" w14:textId="77777777" w:rsidR="000B4386" w:rsidRDefault="000B4386" w:rsidP="006A3DDD">
            <w:pPr>
              <w:pStyle w:val="TableParagraph"/>
              <w:spacing w:before="1"/>
              <w:ind w:left="108"/>
            </w:pPr>
            <w:r>
              <w:t>363</w:t>
            </w:r>
          </w:p>
          <w:p w14:paraId="5D1390F0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52AC3508" w14:textId="77777777" w:rsidR="000B4386" w:rsidRDefault="000B4386" w:rsidP="006A3DDD">
            <w:pPr>
              <w:pStyle w:val="TableParagraph"/>
              <w:spacing w:before="1"/>
              <w:ind w:left="108"/>
            </w:pPr>
            <w:r>
              <w:t>358</w:t>
            </w:r>
          </w:p>
          <w:p w14:paraId="337B58B0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1E06172E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6AB3FEE0" w14:textId="77777777" w:rsidR="000B4386" w:rsidRDefault="000B4386" w:rsidP="006A3DDD">
            <w:pPr>
              <w:pStyle w:val="TableParagraph"/>
              <w:spacing w:before="1"/>
              <w:ind w:left="108"/>
            </w:pPr>
            <w:r>
              <w:t>3182</w:t>
            </w:r>
          </w:p>
          <w:p w14:paraId="1645B5F0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0B617482" w14:textId="77777777" w:rsidR="000B4386" w:rsidRDefault="000B4386" w:rsidP="006A3DDD">
            <w:pPr>
              <w:pStyle w:val="TableParagraph"/>
              <w:spacing w:before="1"/>
              <w:ind w:left="108"/>
            </w:pPr>
            <w:r>
              <w:t>3192</w:t>
            </w:r>
          </w:p>
          <w:p w14:paraId="34BF5B2C" w14:textId="77777777" w:rsidR="000B4386" w:rsidRDefault="000B4386" w:rsidP="006A3DDD">
            <w:pPr>
              <w:pStyle w:val="TableParagraph"/>
              <w:spacing w:before="1"/>
              <w:ind w:left="108"/>
            </w:pPr>
          </w:p>
          <w:p w14:paraId="3AD26C93" w14:textId="2C196673" w:rsidR="000B4386" w:rsidRDefault="000B4386" w:rsidP="006A3DDD">
            <w:pPr>
              <w:pStyle w:val="TableParagraph"/>
              <w:spacing w:before="1"/>
              <w:ind w:left="108"/>
            </w:pPr>
            <w:r>
              <w:t>5016</w:t>
            </w:r>
          </w:p>
        </w:tc>
        <w:tc>
          <w:tcPr>
            <w:tcW w:w="3259" w:type="dxa"/>
          </w:tcPr>
          <w:p w14:paraId="2C6093E6" w14:textId="77777777" w:rsidR="000B4386" w:rsidRDefault="000B4386" w:rsidP="006A3DDD">
            <w:pPr>
              <w:pStyle w:val="TableParagraph"/>
              <w:ind w:left="105"/>
            </w:pPr>
            <w:r>
              <w:t>HHV7 DNA (Herpeswirus typu 7) met. PCR</w:t>
            </w:r>
          </w:p>
          <w:p w14:paraId="10169987" w14:textId="77777777" w:rsidR="000B4386" w:rsidRDefault="000B4386" w:rsidP="006A3DDD">
            <w:pPr>
              <w:pStyle w:val="TableParagraph"/>
              <w:ind w:left="105"/>
            </w:pPr>
            <w:r>
              <w:t>CMV DNA (Cytomegalovirus) met. real time PCR, ilościowo</w:t>
            </w:r>
          </w:p>
          <w:p w14:paraId="4E0C81A5" w14:textId="77777777" w:rsidR="000B4386" w:rsidRDefault="000B4386" w:rsidP="006A3DDD">
            <w:pPr>
              <w:pStyle w:val="TableParagraph"/>
              <w:ind w:left="105"/>
            </w:pPr>
            <w:r>
              <w:t>EBV DNA (Epstein-Barr virus) met. real time PCR, ilościowo</w:t>
            </w:r>
          </w:p>
          <w:p w14:paraId="50D67A38" w14:textId="77777777" w:rsidR="000B4386" w:rsidRDefault="000B4386" w:rsidP="006A3DDD">
            <w:pPr>
              <w:pStyle w:val="TableParagraph"/>
              <w:ind w:left="105"/>
            </w:pPr>
            <w:r w:rsidRPr="0084756B">
              <w:t>HSV DNA (Herpes simplex virus) typ 1 i 2 różnicowanie met. real time PCR, jakościowo</w:t>
            </w:r>
          </w:p>
          <w:p w14:paraId="4F1BAA08" w14:textId="77777777" w:rsidR="000B4386" w:rsidRDefault="000B4386" w:rsidP="006A3DDD">
            <w:pPr>
              <w:pStyle w:val="TableParagraph"/>
              <w:ind w:left="105"/>
            </w:pPr>
            <w:r w:rsidRPr="0084756B">
              <w:t>Poliomawirus (BKV) DNA met. real time PCR, ilościowo</w:t>
            </w:r>
          </w:p>
          <w:p w14:paraId="7356E020" w14:textId="77777777" w:rsidR="000B4386" w:rsidRDefault="000B4386" w:rsidP="006A3DDD">
            <w:pPr>
              <w:pStyle w:val="TableParagraph"/>
              <w:ind w:left="105"/>
            </w:pPr>
            <w:r w:rsidRPr="0084756B">
              <w:t>Poliomawirus (JCV) DNA met. real time PCR, ilościowo</w:t>
            </w:r>
          </w:p>
          <w:p w14:paraId="359C299B" w14:textId="66E1290E" w:rsidR="000B4386" w:rsidRDefault="000B4386" w:rsidP="006A3DDD">
            <w:pPr>
              <w:pStyle w:val="TableParagraph"/>
              <w:ind w:left="105"/>
            </w:pPr>
            <w:r w:rsidRPr="0084756B">
              <w:t>Adenowirus (ADV) DNA met. real time PCR, ilościowo</w:t>
            </w:r>
          </w:p>
        </w:tc>
        <w:tc>
          <w:tcPr>
            <w:tcW w:w="4956" w:type="dxa"/>
          </w:tcPr>
          <w:p w14:paraId="1B4546F0" w14:textId="77777777" w:rsidR="000B4386" w:rsidRDefault="000B4386" w:rsidP="006A3DDD">
            <w:pPr>
              <w:pStyle w:val="TableParagraph"/>
            </w:pPr>
            <w:r>
              <w:t>prosimy o zamrożenie materiału</w:t>
            </w:r>
          </w:p>
          <w:p w14:paraId="7EA611F8" w14:textId="77777777" w:rsidR="00322DFE" w:rsidRDefault="00322DFE" w:rsidP="006A3DDD">
            <w:pPr>
              <w:pStyle w:val="TableParagraph"/>
            </w:pPr>
          </w:p>
          <w:p w14:paraId="42F4EFDB" w14:textId="01FA7DC4" w:rsidR="00322DFE" w:rsidRPr="00FE674E" w:rsidRDefault="00322DFE" w:rsidP="006A3DDD">
            <w:pPr>
              <w:pStyle w:val="TableParagraph"/>
              <w:rPr>
                <w:b/>
                <w:bCs/>
              </w:rPr>
            </w:pPr>
            <w:r w:rsidRPr="00FE674E">
              <w:rPr>
                <w:b/>
                <w:bCs/>
              </w:rPr>
              <w:t>UWAGA: aktualizacja F1 4877 HHV7 DNA (Herpeswirus typu 7) met. PCR (</w:t>
            </w:r>
            <w:r w:rsidR="00923EC9" w:rsidRPr="00FE674E">
              <w:rPr>
                <w:b/>
                <w:bCs/>
              </w:rPr>
              <w:t>zmiana materiału do badań z krwi pełnej EDTA na osocze EDTA</w:t>
            </w:r>
            <w:r w:rsidRPr="00FE674E">
              <w:rPr>
                <w:b/>
                <w:bCs/>
              </w:rPr>
              <w:t>)</w:t>
            </w:r>
          </w:p>
        </w:tc>
      </w:tr>
      <w:tr w:rsidR="00BC3B24" w14:paraId="269CAE33" w14:textId="77777777" w:rsidTr="00B60267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7B08D87" w14:textId="47997B69" w:rsidR="00BC3B24" w:rsidRDefault="00BC3B24" w:rsidP="006A3DDD">
            <w:pPr>
              <w:pStyle w:val="TableParagraph"/>
              <w:spacing w:before="1"/>
              <w:ind w:left="108"/>
            </w:pPr>
            <w:r>
              <w:t>57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6B322186" w14:textId="53C7758A" w:rsidR="00BC3B24" w:rsidRDefault="00BC3B24" w:rsidP="006A3DDD">
            <w:pPr>
              <w:pStyle w:val="TableParagraph"/>
              <w:ind w:left="105"/>
            </w:pPr>
            <w:r w:rsidRPr="00BC3B24">
              <w:t>Posiew kału w kierunku Salmonella/Shigella</w:t>
            </w:r>
            <w:r>
              <w:t xml:space="preserve"> (badanie wykonywane w Sanepidzie w Lublinie)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7FB1C2C4" w14:textId="70B3C404" w:rsidR="00BC3B24" w:rsidRDefault="00400045" w:rsidP="006A3DDD">
            <w:pPr>
              <w:pStyle w:val="TableParagraph"/>
            </w:pPr>
            <w:r>
              <w:t xml:space="preserve">do </w:t>
            </w:r>
            <w:r w:rsidR="00802FA2">
              <w:t>środy 03.06</w:t>
            </w:r>
            <w:r>
              <w:t xml:space="preserve"> </w:t>
            </w:r>
            <w:r w:rsidRPr="00400045">
              <w:rPr>
                <w:b/>
                <w:bCs/>
              </w:rPr>
              <w:t>do godz.10:00</w:t>
            </w:r>
            <w:r>
              <w:t xml:space="preserve"> !!! (PP Chodźki)</w:t>
            </w:r>
          </w:p>
          <w:p w14:paraId="7D3CF555" w14:textId="39A87AFE" w:rsidR="00100ED4" w:rsidRDefault="00100ED4" w:rsidP="006A3DDD">
            <w:pPr>
              <w:pStyle w:val="TableParagraph"/>
            </w:pPr>
            <w:r>
              <w:t xml:space="preserve">do </w:t>
            </w:r>
            <w:r w:rsidR="00802FA2">
              <w:t>wtorku</w:t>
            </w:r>
            <w:r>
              <w:t xml:space="preserve"> </w:t>
            </w:r>
            <w:r w:rsidR="00802FA2">
              <w:t>02.06</w:t>
            </w:r>
            <w:r>
              <w:t xml:space="preserve"> (pozostałe PP i KTH) - zgodnie z ograniczeniami wynikającymi ze stabilności</w:t>
            </w:r>
            <w:r w:rsidR="00923EC9">
              <w:t xml:space="preserve"> </w:t>
            </w:r>
            <w:r>
              <w:t>materiału</w:t>
            </w:r>
            <w:r w:rsidR="00322DFE">
              <w:t xml:space="preserve"> </w:t>
            </w:r>
          </w:p>
        </w:tc>
      </w:tr>
      <w:tr w:rsidR="00B60267" w14:paraId="4C8A0B88" w14:textId="77777777" w:rsidTr="00C66741">
        <w:trPr>
          <w:trHeight w:val="12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16ED160" w14:textId="6DCDB98D" w:rsidR="00B60267" w:rsidRDefault="008D353A" w:rsidP="006A3DDD">
            <w:pPr>
              <w:pStyle w:val="TableParagraph"/>
              <w:spacing w:before="1"/>
              <w:ind w:left="108"/>
            </w:pPr>
            <w:r>
              <w:t>3256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</w:tcPr>
          <w:p w14:paraId="73634330" w14:textId="00CE0F2F" w:rsidR="00B60267" w:rsidRPr="00BC3B24" w:rsidRDefault="00B60267" w:rsidP="006A3DDD">
            <w:pPr>
              <w:pStyle w:val="TableParagraph"/>
              <w:ind w:left="105"/>
            </w:pPr>
            <w:r>
              <w:t>Krioglobuliny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</w:tcBorders>
          </w:tcPr>
          <w:p w14:paraId="4215772F" w14:textId="57D60F0C" w:rsidR="00B60267" w:rsidRDefault="00100ED4" w:rsidP="006A3DDD">
            <w:pPr>
              <w:pStyle w:val="TableParagraph"/>
            </w:pPr>
            <w:r>
              <w:t xml:space="preserve">do </w:t>
            </w:r>
            <w:r w:rsidR="00802FA2">
              <w:t>wtorku 02.06</w:t>
            </w:r>
          </w:p>
        </w:tc>
      </w:tr>
    </w:tbl>
    <w:p w14:paraId="11DB13B3" w14:textId="77777777" w:rsidR="007C7483" w:rsidRDefault="007C7483">
      <w:pPr>
        <w:pStyle w:val="Tekstpodstawowy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4"/>
        <w:gridCol w:w="3430"/>
        <w:gridCol w:w="2188"/>
        <w:gridCol w:w="2982"/>
      </w:tblGrid>
      <w:tr w:rsidR="0046747F" w:rsidRPr="0046747F" w14:paraId="03D1D2EC" w14:textId="77777777" w:rsidTr="0046747F">
        <w:trPr>
          <w:trHeight w:val="300"/>
        </w:trPr>
        <w:tc>
          <w:tcPr>
            <w:tcW w:w="2080" w:type="dxa"/>
            <w:hideMark/>
          </w:tcPr>
          <w:p w14:paraId="044B9434" w14:textId="77777777" w:rsidR="0046747F" w:rsidRPr="0046747F" w:rsidRDefault="0046747F" w:rsidP="0046747F">
            <w:pPr>
              <w:pStyle w:val="Tekstpodstawowy"/>
              <w:rPr>
                <w:b/>
                <w:bCs/>
              </w:rPr>
            </w:pPr>
            <w:r w:rsidRPr="0046747F">
              <w:rPr>
                <w:b/>
                <w:bCs/>
              </w:rPr>
              <w:t>Kod</w:t>
            </w:r>
          </w:p>
        </w:tc>
        <w:tc>
          <w:tcPr>
            <w:tcW w:w="7060" w:type="dxa"/>
            <w:hideMark/>
          </w:tcPr>
          <w:p w14:paraId="62812EF5" w14:textId="77777777" w:rsidR="0046747F" w:rsidRPr="0046747F" w:rsidRDefault="0046747F" w:rsidP="0046747F">
            <w:pPr>
              <w:pStyle w:val="Tekstpodstawowy"/>
              <w:rPr>
                <w:b/>
                <w:bCs/>
              </w:rPr>
            </w:pPr>
            <w:r w:rsidRPr="0046747F">
              <w:rPr>
                <w:b/>
                <w:bCs/>
              </w:rPr>
              <w:t>Nazwa</w:t>
            </w:r>
          </w:p>
        </w:tc>
        <w:tc>
          <w:tcPr>
            <w:tcW w:w="3440" w:type="dxa"/>
            <w:hideMark/>
          </w:tcPr>
          <w:p w14:paraId="10F36352" w14:textId="77777777" w:rsidR="0046747F" w:rsidRPr="0046747F" w:rsidRDefault="0046747F" w:rsidP="0046747F">
            <w:pPr>
              <w:pStyle w:val="Tekstpodstawowy"/>
              <w:rPr>
                <w:b/>
                <w:bCs/>
              </w:rPr>
            </w:pPr>
            <w:r w:rsidRPr="0046747F">
              <w:rPr>
                <w:b/>
                <w:bCs/>
              </w:rPr>
              <w:t>Kategoria</w:t>
            </w:r>
          </w:p>
        </w:tc>
        <w:tc>
          <w:tcPr>
            <w:tcW w:w="7020" w:type="dxa"/>
            <w:hideMark/>
          </w:tcPr>
          <w:p w14:paraId="6435ECFF" w14:textId="77777777" w:rsidR="0046747F" w:rsidRPr="0046747F" w:rsidRDefault="0046747F" w:rsidP="0046747F">
            <w:pPr>
              <w:pStyle w:val="Tekstpodstawowy"/>
              <w:rPr>
                <w:b/>
                <w:bCs/>
              </w:rPr>
            </w:pPr>
            <w:r w:rsidRPr="0046747F">
              <w:rPr>
                <w:b/>
                <w:bCs/>
              </w:rPr>
              <w:t>Ograniczenia w okresie świąt</w:t>
            </w:r>
          </w:p>
        </w:tc>
      </w:tr>
      <w:tr w:rsidR="0046747F" w:rsidRPr="0046747F" w14:paraId="400653E7" w14:textId="77777777" w:rsidTr="0046747F">
        <w:trPr>
          <w:trHeight w:val="600"/>
        </w:trPr>
        <w:tc>
          <w:tcPr>
            <w:tcW w:w="2080" w:type="dxa"/>
            <w:hideMark/>
          </w:tcPr>
          <w:p w14:paraId="23956ADF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1335</w:t>
            </w:r>
          </w:p>
        </w:tc>
        <w:tc>
          <w:tcPr>
            <w:tcW w:w="7060" w:type="dxa"/>
            <w:hideMark/>
          </w:tcPr>
          <w:p w14:paraId="3631BD4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Gruźlica, T-SPOT TB (test IGRA)</w:t>
            </w:r>
          </w:p>
        </w:tc>
        <w:tc>
          <w:tcPr>
            <w:tcW w:w="3440" w:type="dxa"/>
            <w:hideMark/>
          </w:tcPr>
          <w:p w14:paraId="2D367B6C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Badania mikrobiologiczne i genetyczne w kierunku gruźlicy</w:t>
            </w:r>
          </w:p>
        </w:tc>
        <w:tc>
          <w:tcPr>
            <w:tcW w:w="7020" w:type="dxa"/>
            <w:hideMark/>
          </w:tcPr>
          <w:p w14:paraId="1E29AE09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do poniedziałku 1.06</w:t>
            </w:r>
          </w:p>
        </w:tc>
      </w:tr>
      <w:tr w:rsidR="0046747F" w:rsidRPr="0046747F" w14:paraId="5C77DD67" w14:textId="77777777" w:rsidTr="0046747F">
        <w:trPr>
          <w:trHeight w:val="600"/>
        </w:trPr>
        <w:tc>
          <w:tcPr>
            <w:tcW w:w="2080" w:type="dxa"/>
            <w:hideMark/>
          </w:tcPr>
          <w:p w14:paraId="4DCDAD71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3346</w:t>
            </w:r>
          </w:p>
        </w:tc>
        <w:tc>
          <w:tcPr>
            <w:tcW w:w="7060" w:type="dxa"/>
            <w:hideMark/>
          </w:tcPr>
          <w:p w14:paraId="6683B0CC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Witamina C (Kwas askorbinowy)</w:t>
            </w:r>
          </w:p>
        </w:tc>
        <w:tc>
          <w:tcPr>
            <w:tcW w:w="3440" w:type="dxa"/>
            <w:hideMark/>
          </w:tcPr>
          <w:p w14:paraId="65227FC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Badania z zakresu toksykologii i chromatografii</w:t>
            </w:r>
          </w:p>
        </w:tc>
        <w:tc>
          <w:tcPr>
            <w:tcW w:w="7020" w:type="dxa"/>
            <w:hideMark/>
          </w:tcPr>
          <w:p w14:paraId="778C4D21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do poniedziałku 1.06</w:t>
            </w:r>
          </w:p>
        </w:tc>
      </w:tr>
      <w:tr w:rsidR="0046747F" w:rsidRPr="0046747F" w14:paraId="2F1441BC" w14:textId="77777777" w:rsidTr="0046747F">
        <w:trPr>
          <w:trHeight w:val="600"/>
        </w:trPr>
        <w:tc>
          <w:tcPr>
            <w:tcW w:w="2080" w:type="dxa"/>
            <w:hideMark/>
          </w:tcPr>
          <w:p w14:paraId="7D75A057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4700</w:t>
            </w:r>
          </w:p>
        </w:tc>
        <w:tc>
          <w:tcPr>
            <w:tcW w:w="7060" w:type="dxa"/>
            <w:hideMark/>
          </w:tcPr>
          <w:p w14:paraId="24952756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NIFTY basic (T21, 18, 13, płeć) - nieinwazyjny, przesiewowy, test prenatalny, NIPT (ang. Non-Invasive Prenatal Test)</w:t>
            </w:r>
          </w:p>
        </w:tc>
        <w:tc>
          <w:tcPr>
            <w:tcW w:w="3440" w:type="dxa"/>
            <w:vMerge w:val="restart"/>
            <w:hideMark/>
          </w:tcPr>
          <w:p w14:paraId="0912E04B" w14:textId="161D0FB0" w:rsidR="0046747F" w:rsidRPr="0046747F" w:rsidRDefault="0046747F" w:rsidP="0046747F">
            <w:pPr>
              <w:pStyle w:val="Tekstpodstawowy"/>
              <w:jc w:val="center"/>
            </w:pPr>
            <w:r w:rsidRPr="0046747F">
              <w:t>Badania prenatalne</w:t>
            </w:r>
          </w:p>
        </w:tc>
        <w:tc>
          <w:tcPr>
            <w:tcW w:w="7020" w:type="dxa"/>
            <w:vMerge w:val="restart"/>
            <w:hideMark/>
          </w:tcPr>
          <w:p w14:paraId="34334CC0" w14:textId="032B7694" w:rsidR="0046747F" w:rsidRPr="0046747F" w:rsidRDefault="00224C84" w:rsidP="0046747F">
            <w:pPr>
              <w:pStyle w:val="Tekstpodstawowy"/>
              <w:jc w:val="center"/>
            </w:pPr>
            <w:r w:rsidRPr="00224C84">
              <w:t>do poniedziałku 1.06</w:t>
            </w:r>
            <w:r w:rsidR="0046747F" w:rsidRPr="0046747F">
              <w:t>, wznowienie przyjęcia od 8.06</w:t>
            </w:r>
          </w:p>
        </w:tc>
      </w:tr>
      <w:tr w:rsidR="0046747F" w:rsidRPr="0046747F" w14:paraId="574331DE" w14:textId="77777777" w:rsidTr="0046747F">
        <w:trPr>
          <w:trHeight w:val="600"/>
        </w:trPr>
        <w:tc>
          <w:tcPr>
            <w:tcW w:w="2080" w:type="dxa"/>
            <w:hideMark/>
          </w:tcPr>
          <w:p w14:paraId="372A96EC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4701</w:t>
            </w:r>
          </w:p>
        </w:tc>
        <w:tc>
          <w:tcPr>
            <w:tcW w:w="7060" w:type="dxa"/>
            <w:hideMark/>
          </w:tcPr>
          <w:p w14:paraId="77ECBC77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 xml:space="preserve">NIFTY standard (T21, 18, 13, aneuploidie XY, płeć)  - </w:t>
            </w:r>
            <w:r w:rsidRPr="0046747F">
              <w:lastRenderedPageBreak/>
              <w:t>nieinwazyjny, przesiewowy, test prenatalny, NIPT (ang. Non-Invasive Prenatal Test)</w:t>
            </w:r>
          </w:p>
        </w:tc>
        <w:tc>
          <w:tcPr>
            <w:tcW w:w="3440" w:type="dxa"/>
            <w:vMerge/>
            <w:hideMark/>
          </w:tcPr>
          <w:p w14:paraId="50070E2D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39B7B262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37C41F1F" w14:textId="77777777" w:rsidTr="0046747F">
        <w:trPr>
          <w:trHeight w:val="900"/>
        </w:trPr>
        <w:tc>
          <w:tcPr>
            <w:tcW w:w="2080" w:type="dxa"/>
            <w:hideMark/>
          </w:tcPr>
          <w:p w14:paraId="47DCEA70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4702</w:t>
            </w:r>
          </w:p>
        </w:tc>
        <w:tc>
          <w:tcPr>
            <w:tcW w:w="7060" w:type="dxa"/>
            <w:hideMark/>
          </w:tcPr>
          <w:p w14:paraId="011AADE6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NIFTY plus (T21, 18, 13, 9, 16, 22, aneuploidie XY, płeć, delecje, duplikacje)  - nieinwazyjny, przesiewowy, test prenatalny, NIPT (ang. Non-Invasive Prenatal Test)</w:t>
            </w:r>
          </w:p>
        </w:tc>
        <w:tc>
          <w:tcPr>
            <w:tcW w:w="3440" w:type="dxa"/>
            <w:vMerge/>
            <w:hideMark/>
          </w:tcPr>
          <w:p w14:paraId="778DF08C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1B521A35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7B4038B" w14:textId="77777777" w:rsidTr="0046747F">
        <w:trPr>
          <w:trHeight w:val="900"/>
        </w:trPr>
        <w:tc>
          <w:tcPr>
            <w:tcW w:w="2080" w:type="dxa"/>
            <w:hideMark/>
          </w:tcPr>
          <w:p w14:paraId="79EAC71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4703</w:t>
            </w:r>
          </w:p>
        </w:tc>
        <w:tc>
          <w:tcPr>
            <w:tcW w:w="7060" w:type="dxa"/>
            <w:hideMark/>
          </w:tcPr>
          <w:p w14:paraId="3EE5C874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NIFTY Twins (T21, 18, 13, płeć- wykrywanie chromosomu Y) - nieinwazyjny, przesiewowy, test prenatalny dla ciąży bliźniaczych, NIPT (ang. Non-Invasive Prenatal Test)</w:t>
            </w:r>
          </w:p>
        </w:tc>
        <w:tc>
          <w:tcPr>
            <w:tcW w:w="3440" w:type="dxa"/>
            <w:vMerge/>
            <w:hideMark/>
          </w:tcPr>
          <w:p w14:paraId="1047DC0A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2FD13391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7B32BC38" w14:textId="77777777" w:rsidTr="0046747F">
        <w:trPr>
          <w:trHeight w:val="300"/>
        </w:trPr>
        <w:tc>
          <w:tcPr>
            <w:tcW w:w="2080" w:type="dxa"/>
            <w:hideMark/>
          </w:tcPr>
          <w:p w14:paraId="1FF8920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4957</w:t>
            </w:r>
          </w:p>
        </w:tc>
        <w:tc>
          <w:tcPr>
            <w:tcW w:w="7060" w:type="dxa"/>
            <w:hideMark/>
          </w:tcPr>
          <w:p w14:paraId="1E063E81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SANCO RhD Test</w:t>
            </w:r>
          </w:p>
        </w:tc>
        <w:tc>
          <w:tcPr>
            <w:tcW w:w="3440" w:type="dxa"/>
            <w:vMerge/>
            <w:hideMark/>
          </w:tcPr>
          <w:p w14:paraId="7098A44A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 w:val="restart"/>
            <w:hideMark/>
          </w:tcPr>
          <w:p w14:paraId="2AE3AB63" w14:textId="4B1DDFD8" w:rsidR="0046747F" w:rsidRPr="0046747F" w:rsidRDefault="00224C84" w:rsidP="0046747F">
            <w:pPr>
              <w:pStyle w:val="Tekstpodstawowy"/>
              <w:jc w:val="center"/>
            </w:pPr>
            <w:r w:rsidRPr="00224C84">
              <w:t>do poniedziałku 1.06</w:t>
            </w:r>
          </w:p>
        </w:tc>
      </w:tr>
      <w:tr w:rsidR="0046747F" w:rsidRPr="0046747F" w14:paraId="7CD08152" w14:textId="77777777" w:rsidTr="0046747F">
        <w:trPr>
          <w:trHeight w:val="300"/>
        </w:trPr>
        <w:tc>
          <w:tcPr>
            <w:tcW w:w="2080" w:type="dxa"/>
            <w:hideMark/>
          </w:tcPr>
          <w:p w14:paraId="646BA694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4959</w:t>
            </w:r>
          </w:p>
        </w:tc>
        <w:tc>
          <w:tcPr>
            <w:tcW w:w="7060" w:type="dxa"/>
            <w:hideMark/>
          </w:tcPr>
          <w:p w14:paraId="10E26DE2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SANCO Test Prenatalny</w:t>
            </w:r>
          </w:p>
        </w:tc>
        <w:tc>
          <w:tcPr>
            <w:tcW w:w="3440" w:type="dxa"/>
            <w:vMerge/>
            <w:hideMark/>
          </w:tcPr>
          <w:p w14:paraId="599E4314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27803726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655F89AD" w14:textId="77777777" w:rsidTr="0046747F">
        <w:trPr>
          <w:trHeight w:val="300"/>
        </w:trPr>
        <w:tc>
          <w:tcPr>
            <w:tcW w:w="2080" w:type="dxa"/>
            <w:hideMark/>
          </w:tcPr>
          <w:p w14:paraId="65FE22CB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4965</w:t>
            </w:r>
          </w:p>
        </w:tc>
        <w:tc>
          <w:tcPr>
            <w:tcW w:w="7060" w:type="dxa"/>
            <w:hideMark/>
          </w:tcPr>
          <w:p w14:paraId="6189B74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SANCO Test prenatalny oraz czynnik RhD płodu</w:t>
            </w:r>
          </w:p>
        </w:tc>
        <w:tc>
          <w:tcPr>
            <w:tcW w:w="3440" w:type="dxa"/>
            <w:vMerge/>
            <w:hideMark/>
          </w:tcPr>
          <w:p w14:paraId="7B48664B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23894D19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64769CC7" w14:textId="77777777" w:rsidTr="0046747F">
        <w:trPr>
          <w:trHeight w:val="300"/>
        </w:trPr>
        <w:tc>
          <w:tcPr>
            <w:tcW w:w="2080" w:type="dxa"/>
            <w:hideMark/>
          </w:tcPr>
          <w:p w14:paraId="1D31AAA2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5421</w:t>
            </w:r>
          </w:p>
        </w:tc>
        <w:tc>
          <w:tcPr>
            <w:tcW w:w="7060" w:type="dxa"/>
            <w:hideMark/>
          </w:tcPr>
          <w:p w14:paraId="156BDB3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Parento Optimum - badanie dla par planujących ciążę (kobieta)</w:t>
            </w:r>
          </w:p>
        </w:tc>
        <w:tc>
          <w:tcPr>
            <w:tcW w:w="3440" w:type="dxa"/>
            <w:vMerge/>
            <w:hideMark/>
          </w:tcPr>
          <w:p w14:paraId="65C4FEE7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5173D9C8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2868E9F6" w14:textId="77777777" w:rsidTr="0046747F">
        <w:trPr>
          <w:trHeight w:val="300"/>
        </w:trPr>
        <w:tc>
          <w:tcPr>
            <w:tcW w:w="2080" w:type="dxa"/>
            <w:hideMark/>
          </w:tcPr>
          <w:p w14:paraId="3569774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5422</w:t>
            </w:r>
          </w:p>
        </w:tc>
        <w:tc>
          <w:tcPr>
            <w:tcW w:w="7060" w:type="dxa"/>
            <w:hideMark/>
          </w:tcPr>
          <w:p w14:paraId="2A12AC3A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Parento Optimum - badanie dla par planujących ciążę (mężczyzna)</w:t>
            </w:r>
          </w:p>
        </w:tc>
        <w:tc>
          <w:tcPr>
            <w:tcW w:w="3440" w:type="dxa"/>
            <w:vMerge/>
            <w:hideMark/>
          </w:tcPr>
          <w:p w14:paraId="2965EC16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461ED89D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904D30D" w14:textId="77777777" w:rsidTr="0046747F">
        <w:trPr>
          <w:trHeight w:val="300"/>
        </w:trPr>
        <w:tc>
          <w:tcPr>
            <w:tcW w:w="2080" w:type="dxa"/>
            <w:hideMark/>
          </w:tcPr>
          <w:p w14:paraId="5BE43D8F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5423</w:t>
            </w:r>
          </w:p>
        </w:tc>
        <w:tc>
          <w:tcPr>
            <w:tcW w:w="7060" w:type="dxa"/>
            <w:hideMark/>
          </w:tcPr>
          <w:p w14:paraId="5E1A83D2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Parento Maksimum - badanie dla par planujących ciążę (kobieta)</w:t>
            </w:r>
          </w:p>
        </w:tc>
        <w:tc>
          <w:tcPr>
            <w:tcW w:w="3440" w:type="dxa"/>
            <w:vMerge/>
            <w:hideMark/>
          </w:tcPr>
          <w:p w14:paraId="3A3FE635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406F4DB4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443C241D" w14:textId="77777777" w:rsidTr="0046747F">
        <w:trPr>
          <w:trHeight w:val="300"/>
        </w:trPr>
        <w:tc>
          <w:tcPr>
            <w:tcW w:w="2080" w:type="dxa"/>
            <w:hideMark/>
          </w:tcPr>
          <w:p w14:paraId="19215957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5424</w:t>
            </w:r>
          </w:p>
        </w:tc>
        <w:tc>
          <w:tcPr>
            <w:tcW w:w="7060" w:type="dxa"/>
            <w:hideMark/>
          </w:tcPr>
          <w:p w14:paraId="2F6D1A40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Parento Maksimum - badanie dla par planujących ciążę (mężczyzna)</w:t>
            </w:r>
          </w:p>
        </w:tc>
        <w:tc>
          <w:tcPr>
            <w:tcW w:w="3440" w:type="dxa"/>
            <w:vMerge/>
            <w:hideMark/>
          </w:tcPr>
          <w:p w14:paraId="0794D335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73775671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3608AF8" w14:textId="77777777" w:rsidTr="0046747F">
        <w:trPr>
          <w:trHeight w:val="600"/>
        </w:trPr>
        <w:tc>
          <w:tcPr>
            <w:tcW w:w="2080" w:type="dxa"/>
            <w:hideMark/>
          </w:tcPr>
          <w:p w14:paraId="5242382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4584</w:t>
            </w:r>
          </w:p>
        </w:tc>
        <w:tc>
          <w:tcPr>
            <w:tcW w:w="7060" w:type="dxa"/>
            <w:hideMark/>
          </w:tcPr>
          <w:p w14:paraId="51707B1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Infano, badanie przesiewowe noworodków w kierunku genetycznie uwarunkowanych jednostek chorobowych, met. NGS</w:t>
            </w:r>
          </w:p>
        </w:tc>
        <w:tc>
          <w:tcPr>
            <w:tcW w:w="3440" w:type="dxa"/>
            <w:vMerge/>
            <w:hideMark/>
          </w:tcPr>
          <w:p w14:paraId="63301705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46F014F3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4341EF39" w14:textId="77777777" w:rsidTr="0046747F">
        <w:trPr>
          <w:trHeight w:val="900"/>
        </w:trPr>
        <w:tc>
          <w:tcPr>
            <w:tcW w:w="2080" w:type="dxa"/>
            <w:hideMark/>
          </w:tcPr>
          <w:p w14:paraId="29BFF3A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5390</w:t>
            </w:r>
          </w:p>
        </w:tc>
        <w:tc>
          <w:tcPr>
            <w:tcW w:w="7060" w:type="dxa"/>
            <w:hideMark/>
          </w:tcPr>
          <w:p w14:paraId="43F34A46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Infano badanie uzupełniające - Dystrofia mięśniowa Duchenne'a/Beckera (DMD), wrodzony przerost kory nadnerczy (CYP21A2), met. MLPA</w:t>
            </w:r>
          </w:p>
        </w:tc>
        <w:tc>
          <w:tcPr>
            <w:tcW w:w="3440" w:type="dxa"/>
            <w:vMerge/>
            <w:hideMark/>
          </w:tcPr>
          <w:p w14:paraId="67753BE4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17877937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75E1AF3E" w14:textId="77777777" w:rsidTr="0046747F">
        <w:trPr>
          <w:trHeight w:val="600"/>
        </w:trPr>
        <w:tc>
          <w:tcPr>
            <w:tcW w:w="2080" w:type="dxa"/>
            <w:hideMark/>
          </w:tcPr>
          <w:p w14:paraId="5383390B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3548</w:t>
            </w:r>
          </w:p>
        </w:tc>
        <w:tc>
          <w:tcPr>
            <w:tcW w:w="7060" w:type="dxa"/>
            <w:hideMark/>
          </w:tcPr>
          <w:p w14:paraId="6C3044F1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Nietolerancja histaminy</w:t>
            </w:r>
          </w:p>
        </w:tc>
        <w:tc>
          <w:tcPr>
            <w:tcW w:w="3440" w:type="dxa"/>
            <w:vMerge w:val="restart"/>
            <w:hideMark/>
          </w:tcPr>
          <w:p w14:paraId="12D1CB9D" w14:textId="73EF971F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 w:val="restart"/>
            <w:hideMark/>
          </w:tcPr>
          <w:p w14:paraId="157CF578" w14:textId="49856557" w:rsidR="0046747F" w:rsidRPr="0046747F" w:rsidRDefault="0046747F" w:rsidP="0046747F">
            <w:pPr>
              <w:pStyle w:val="Tekstpodstawowy"/>
              <w:jc w:val="center"/>
            </w:pPr>
            <w:r w:rsidRPr="0046747F">
              <w:t>do poniedziałku 1.06.</w:t>
            </w:r>
          </w:p>
        </w:tc>
      </w:tr>
      <w:tr w:rsidR="0046747F" w:rsidRPr="0046747F" w14:paraId="5005E7A9" w14:textId="77777777" w:rsidTr="0046747F">
        <w:trPr>
          <w:trHeight w:val="300"/>
        </w:trPr>
        <w:tc>
          <w:tcPr>
            <w:tcW w:w="2080" w:type="dxa"/>
            <w:hideMark/>
          </w:tcPr>
          <w:p w14:paraId="6E0CD5A2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3409</w:t>
            </w:r>
          </w:p>
        </w:tc>
        <w:tc>
          <w:tcPr>
            <w:tcW w:w="7060" w:type="dxa"/>
            <w:hideMark/>
          </w:tcPr>
          <w:p w14:paraId="7D6C884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Mikrobiota jelit Complete - kompleksowe badanie mikrobioty jelit</w:t>
            </w:r>
          </w:p>
        </w:tc>
        <w:tc>
          <w:tcPr>
            <w:tcW w:w="3440" w:type="dxa"/>
            <w:vMerge/>
            <w:hideMark/>
          </w:tcPr>
          <w:p w14:paraId="47B529AB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0C0C542D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8521808" w14:textId="77777777" w:rsidTr="0046747F">
        <w:trPr>
          <w:trHeight w:val="600"/>
        </w:trPr>
        <w:tc>
          <w:tcPr>
            <w:tcW w:w="2080" w:type="dxa"/>
            <w:hideMark/>
          </w:tcPr>
          <w:p w14:paraId="0D9529C5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3221</w:t>
            </w:r>
          </w:p>
        </w:tc>
        <w:tc>
          <w:tcPr>
            <w:tcW w:w="7060" w:type="dxa"/>
            <w:hideMark/>
          </w:tcPr>
          <w:p w14:paraId="2E702935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Mikrobiota jelit PRO, jakościowe i ilościowe badanie mikrobiologiczne kału</w:t>
            </w:r>
          </w:p>
        </w:tc>
        <w:tc>
          <w:tcPr>
            <w:tcW w:w="3440" w:type="dxa"/>
            <w:vMerge/>
            <w:hideMark/>
          </w:tcPr>
          <w:p w14:paraId="1FE9AA67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623AE438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30CBB138" w14:textId="77777777" w:rsidTr="0046747F">
        <w:trPr>
          <w:trHeight w:val="600"/>
        </w:trPr>
        <w:tc>
          <w:tcPr>
            <w:tcW w:w="2080" w:type="dxa"/>
            <w:hideMark/>
          </w:tcPr>
          <w:p w14:paraId="50709CA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3232</w:t>
            </w:r>
          </w:p>
        </w:tc>
        <w:tc>
          <w:tcPr>
            <w:tcW w:w="7060" w:type="dxa"/>
            <w:hideMark/>
          </w:tcPr>
          <w:p w14:paraId="0B36CA40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Mikrobiota jelit Basic, jakościowe i ilościowe badanie mikrobiologiczne kału</w:t>
            </w:r>
          </w:p>
        </w:tc>
        <w:tc>
          <w:tcPr>
            <w:tcW w:w="3440" w:type="dxa"/>
            <w:vMerge/>
            <w:hideMark/>
          </w:tcPr>
          <w:p w14:paraId="4FF9BE55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3B07AEDA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41C7B99" w14:textId="77777777" w:rsidTr="0046747F">
        <w:trPr>
          <w:trHeight w:val="300"/>
        </w:trPr>
        <w:tc>
          <w:tcPr>
            <w:tcW w:w="2080" w:type="dxa"/>
            <w:hideMark/>
          </w:tcPr>
          <w:p w14:paraId="115A8AE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3265</w:t>
            </w:r>
          </w:p>
        </w:tc>
        <w:tc>
          <w:tcPr>
            <w:tcW w:w="7060" w:type="dxa"/>
            <w:hideMark/>
          </w:tcPr>
          <w:p w14:paraId="598EDC4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FoodScreen IgG 96 składników pokarmowych</w:t>
            </w:r>
          </w:p>
        </w:tc>
        <w:tc>
          <w:tcPr>
            <w:tcW w:w="3440" w:type="dxa"/>
            <w:vMerge/>
            <w:hideMark/>
          </w:tcPr>
          <w:p w14:paraId="58A4E036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483A6AB5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2FCE00BA" w14:textId="77777777" w:rsidTr="0046747F">
        <w:trPr>
          <w:trHeight w:val="300"/>
        </w:trPr>
        <w:tc>
          <w:tcPr>
            <w:tcW w:w="2080" w:type="dxa"/>
            <w:hideMark/>
          </w:tcPr>
          <w:p w14:paraId="53BE47E4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3266</w:t>
            </w:r>
          </w:p>
        </w:tc>
        <w:tc>
          <w:tcPr>
            <w:tcW w:w="7060" w:type="dxa"/>
            <w:hideMark/>
          </w:tcPr>
          <w:p w14:paraId="45D8CF3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FoodScreen IgG 144 składniki pokarmowe</w:t>
            </w:r>
          </w:p>
        </w:tc>
        <w:tc>
          <w:tcPr>
            <w:tcW w:w="3440" w:type="dxa"/>
            <w:vMerge/>
            <w:hideMark/>
          </w:tcPr>
          <w:p w14:paraId="29926592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704F5DCA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2D24F2EB" w14:textId="77777777" w:rsidTr="0046747F">
        <w:trPr>
          <w:trHeight w:val="300"/>
        </w:trPr>
        <w:tc>
          <w:tcPr>
            <w:tcW w:w="2080" w:type="dxa"/>
            <w:hideMark/>
          </w:tcPr>
          <w:p w14:paraId="0CFE9A3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3267</w:t>
            </w:r>
          </w:p>
        </w:tc>
        <w:tc>
          <w:tcPr>
            <w:tcW w:w="7060" w:type="dxa"/>
            <w:hideMark/>
          </w:tcPr>
          <w:p w14:paraId="1E6FF89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FoodScreen IgG, IgA 96 składników pokarmowych</w:t>
            </w:r>
          </w:p>
        </w:tc>
        <w:tc>
          <w:tcPr>
            <w:tcW w:w="3440" w:type="dxa"/>
            <w:vMerge/>
            <w:hideMark/>
          </w:tcPr>
          <w:p w14:paraId="48A192CD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79898E4C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49D99A53" w14:textId="77777777" w:rsidTr="0046747F">
        <w:trPr>
          <w:trHeight w:val="300"/>
        </w:trPr>
        <w:tc>
          <w:tcPr>
            <w:tcW w:w="2080" w:type="dxa"/>
            <w:hideMark/>
          </w:tcPr>
          <w:p w14:paraId="7D87FE34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3268</w:t>
            </w:r>
          </w:p>
        </w:tc>
        <w:tc>
          <w:tcPr>
            <w:tcW w:w="7060" w:type="dxa"/>
            <w:hideMark/>
          </w:tcPr>
          <w:p w14:paraId="6530131D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FoodScreen IgG, IgA 144 składniki pokarmowe</w:t>
            </w:r>
          </w:p>
        </w:tc>
        <w:tc>
          <w:tcPr>
            <w:tcW w:w="3440" w:type="dxa"/>
            <w:vMerge/>
            <w:hideMark/>
          </w:tcPr>
          <w:p w14:paraId="005A340E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1F8B9B82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1996E1C1" w14:textId="77777777" w:rsidTr="0046747F">
        <w:trPr>
          <w:trHeight w:val="300"/>
        </w:trPr>
        <w:tc>
          <w:tcPr>
            <w:tcW w:w="2080" w:type="dxa"/>
            <w:hideMark/>
          </w:tcPr>
          <w:p w14:paraId="3C02510C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3141</w:t>
            </w:r>
          </w:p>
        </w:tc>
        <w:tc>
          <w:tcPr>
            <w:tcW w:w="7060" w:type="dxa"/>
            <w:hideMark/>
          </w:tcPr>
          <w:p w14:paraId="3FEC0C9B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 xml:space="preserve">Borelioza - Ocena subpopulacji </w:t>
            </w:r>
            <w:r w:rsidRPr="0046747F">
              <w:lastRenderedPageBreak/>
              <w:t>komórek NK CD57</w:t>
            </w:r>
          </w:p>
        </w:tc>
        <w:tc>
          <w:tcPr>
            <w:tcW w:w="3440" w:type="dxa"/>
            <w:vMerge w:val="restart"/>
            <w:hideMark/>
          </w:tcPr>
          <w:p w14:paraId="5DAC6894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lastRenderedPageBreak/>
              <w:t xml:space="preserve">Badania z zakresu </w:t>
            </w:r>
            <w:r w:rsidRPr="0046747F">
              <w:lastRenderedPageBreak/>
              <w:t>cytometrii przepływowej</w:t>
            </w:r>
          </w:p>
        </w:tc>
        <w:tc>
          <w:tcPr>
            <w:tcW w:w="7020" w:type="dxa"/>
            <w:vMerge w:val="restart"/>
            <w:hideMark/>
          </w:tcPr>
          <w:p w14:paraId="3A34E08A" w14:textId="1D8D95CC" w:rsidR="0046747F" w:rsidRPr="0046747F" w:rsidRDefault="0046747F" w:rsidP="0046747F">
            <w:pPr>
              <w:pStyle w:val="Tekstpodstawowy"/>
              <w:jc w:val="center"/>
            </w:pPr>
            <w:r w:rsidRPr="0046747F">
              <w:lastRenderedPageBreak/>
              <w:t>do poniedziałku 1.06.</w:t>
            </w:r>
          </w:p>
        </w:tc>
      </w:tr>
      <w:tr w:rsidR="0046747F" w:rsidRPr="0046747F" w14:paraId="4B81E14A" w14:textId="77777777" w:rsidTr="0046747F">
        <w:trPr>
          <w:trHeight w:val="300"/>
        </w:trPr>
        <w:tc>
          <w:tcPr>
            <w:tcW w:w="2080" w:type="dxa"/>
            <w:hideMark/>
          </w:tcPr>
          <w:p w14:paraId="4C5F77DD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327</w:t>
            </w:r>
          </w:p>
        </w:tc>
        <w:tc>
          <w:tcPr>
            <w:tcW w:w="7060" w:type="dxa"/>
            <w:hideMark/>
          </w:tcPr>
          <w:p w14:paraId="05862F75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Stosunek limfocytów CD4/CD8</w:t>
            </w:r>
          </w:p>
        </w:tc>
        <w:tc>
          <w:tcPr>
            <w:tcW w:w="3440" w:type="dxa"/>
            <w:vMerge/>
            <w:hideMark/>
          </w:tcPr>
          <w:p w14:paraId="07D74AA3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69570C5B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1EEBEF75" w14:textId="77777777" w:rsidTr="0046747F">
        <w:trPr>
          <w:trHeight w:val="300"/>
        </w:trPr>
        <w:tc>
          <w:tcPr>
            <w:tcW w:w="2080" w:type="dxa"/>
            <w:hideMark/>
          </w:tcPr>
          <w:p w14:paraId="50ACB2BE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3248</w:t>
            </w:r>
          </w:p>
        </w:tc>
        <w:tc>
          <w:tcPr>
            <w:tcW w:w="7060" w:type="dxa"/>
            <w:hideMark/>
          </w:tcPr>
          <w:p w14:paraId="0C51FB3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Profil limfocytarny podstawowy (T, B, NK, T pom., T supr.)</w:t>
            </w:r>
          </w:p>
        </w:tc>
        <w:tc>
          <w:tcPr>
            <w:tcW w:w="3440" w:type="dxa"/>
            <w:vMerge/>
            <w:hideMark/>
          </w:tcPr>
          <w:p w14:paraId="401F3ECD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09B925CD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6ECE83DC" w14:textId="77777777" w:rsidTr="0046747F">
        <w:trPr>
          <w:trHeight w:val="300"/>
        </w:trPr>
        <w:tc>
          <w:tcPr>
            <w:tcW w:w="2080" w:type="dxa"/>
            <w:hideMark/>
          </w:tcPr>
          <w:p w14:paraId="5C4E2801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3945</w:t>
            </w:r>
          </w:p>
        </w:tc>
        <w:tc>
          <w:tcPr>
            <w:tcW w:w="7060" w:type="dxa"/>
            <w:hideMark/>
          </w:tcPr>
          <w:p w14:paraId="3D6199A9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SUBPOPULACJE LIMFOCYTÓW</w:t>
            </w:r>
          </w:p>
        </w:tc>
        <w:tc>
          <w:tcPr>
            <w:tcW w:w="3440" w:type="dxa"/>
            <w:vMerge/>
            <w:hideMark/>
          </w:tcPr>
          <w:p w14:paraId="6450C66D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09D9423B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25F433C4" w14:textId="77777777" w:rsidTr="0046747F">
        <w:trPr>
          <w:trHeight w:val="300"/>
        </w:trPr>
        <w:tc>
          <w:tcPr>
            <w:tcW w:w="2080" w:type="dxa"/>
            <w:hideMark/>
          </w:tcPr>
          <w:p w14:paraId="03A57222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3249</w:t>
            </w:r>
          </w:p>
        </w:tc>
        <w:tc>
          <w:tcPr>
            <w:tcW w:w="7060" w:type="dxa"/>
            <w:hideMark/>
          </w:tcPr>
          <w:p w14:paraId="7D182258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Markery aktywacji limfocyta T</w:t>
            </w:r>
          </w:p>
        </w:tc>
        <w:tc>
          <w:tcPr>
            <w:tcW w:w="3440" w:type="dxa"/>
            <w:vMerge/>
            <w:hideMark/>
          </w:tcPr>
          <w:p w14:paraId="21EA7950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3B3CC8E8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22339BA1" w14:textId="77777777" w:rsidTr="0046747F">
        <w:trPr>
          <w:trHeight w:val="300"/>
        </w:trPr>
        <w:tc>
          <w:tcPr>
            <w:tcW w:w="2080" w:type="dxa"/>
            <w:hideMark/>
          </w:tcPr>
          <w:p w14:paraId="2472A49F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3941</w:t>
            </w:r>
          </w:p>
        </w:tc>
        <w:tc>
          <w:tcPr>
            <w:tcW w:w="7060" w:type="dxa"/>
            <w:hideMark/>
          </w:tcPr>
          <w:p w14:paraId="5D222700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Limfocyty CD20+/CD19+/CD45+ (monitorowanie terapii rituximab)</w:t>
            </w:r>
          </w:p>
        </w:tc>
        <w:tc>
          <w:tcPr>
            <w:tcW w:w="3440" w:type="dxa"/>
            <w:vMerge/>
            <w:hideMark/>
          </w:tcPr>
          <w:p w14:paraId="023F1088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vMerge/>
            <w:hideMark/>
          </w:tcPr>
          <w:p w14:paraId="4869E99A" w14:textId="77777777" w:rsidR="0046747F" w:rsidRPr="0046747F" w:rsidRDefault="0046747F" w:rsidP="0046747F">
            <w:pPr>
              <w:pStyle w:val="Tekstpodstawowy"/>
              <w:jc w:val="center"/>
            </w:pPr>
          </w:p>
        </w:tc>
      </w:tr>
      <w:tr w:rsidR="0046747F" w:rsidRPr="0046747F" w14:paraId="06899255" w14:textId="77777777" w:rsidTr="0046747F">
        <w:trPr>
          <w:trHeight w:val="690"/>
        </w:trPr>
        <w:tc>
          <w:tcPr>
            <w:tcW w:w="2080" w:type="dxa"/>
            <w:hideMark/>
          </w:tcPr>
          <w:p w14:paraId="30E6426F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3283</w:t>
            </w:r>
          </w:p>
        </w:tc>
        <w:tc>
          <w:tcPr>
            <w:tcW w:w="7060" w:type="dxa"/>
            <w:hideMark/>
          </w:tcPr>
          <w:p w14:paraId="0C8F7917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P/c. blokujące – test MLR</w:t>
            </w:r>
          </w:p>
        </w:tc>
        <w:tc>
          <w:tcPr>
            <w:tcW w:w="3440" w:type="dxa"/>
            <w:vMerge/>
            <w:hideMark/>
          </w:tcPr>
          <w:p w14:paraId="772515E2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hideMark/>
          </w:tcPr>
          <w:p w14:paraId="64C57796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Materiał na badanie można pobierać w poniedziałki z wyjątkiem 1.06 - przyjęcie wstrzymane</w:t>
            </w:r>
          </w:p>
        </w:tc>
      </w:tr>
      <w:tr w:rsidR="0046747F" w:rsidRPr="0046747F" w14:paraId="40B886F4" w14:textId="77777777" w:rsidTr="0046747F">
        <w:trPr>
          <w:trHeight w:val="852"/>
        </w:trPr>
        <w:tc>
          <w:tcPr>
            <w:tcW w:w="2080" w:type="dxa"/>
            <w:hideMark/>
          </w:tcPr>
          <w:p w14:paraId="66BF7C60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3845</w:t>
            </w:r>
          </w:p>
        </w:tc>
        <w:tc>
          <w:tcPr>
            <w:tcW w:w="7060" w:type="dxa"/>
            <w:hideMark/>
          </w:tcPr>
          <w:p w14:paraId="5B13633D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Test limfocytotoksyczny (LCT) - crossmach (FCXM) - CD3+/IgG+</w:t>
            </w:r>
          </w:p>
        </w:tc>
        <w:tc>
          <w:tcPr>
            <w:tcW w:w="3440" w:type="dxa"/>
            <w:vMerge/>
            <w:hideMark/>
          </w:tcPr>
          <w:p w14:paraId="11D2F860" w14:textId="77777777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20" w:type="dxa"/>
            <w:hideMark/>
          </w:tcPr>
          <w:p w14:paraId="658F2CDA" w14:textId="5BB868C2" w:rsidR="0046747F" w:rsidRPr="0046747F" w:rsidRDefault="0046747F" w:rsidP="0046747F">
            <w:pPr>
              <w:pStyle w:val="Tekstpodstawowy"/>
              <w:jc w:val="center"/>
            </w:pPr>
            <w:r w:rsidRPr="0046747F">
              <w:t>Materiał na badanie można pobierać w poniedziałki, wtorki, środy i czwartki za wyjątkiem 3-4.06 - brak możliwości pobrania,</w:t>
            </w:r>
          </w:p>
        </w:tc>
      </w:tr>
      <w:tr w:rsidR="0046747F" w:rsidRPr="0046747F" w14:paraId="1F0D243F" w14:textId="77777777" w:rsidTr="0046747F">
        <w:trPr>
          <w:trHeight w:val="1980"/>
        </w:trPr>
        <w:tc>
          <w:tcPr>
            <w:tcW w:w="2080" w:type="dxa"/>
            <w:hideMark/>
          </w:tcPr>
          <w:p w14:paraId="021E1DBB" w14:textId="4C97B66A" w:rsidR="0046747F" w:rsidRPr="0046747F" w:rsidRDefault="0046747F" w:rsidP="0046747F">
            <w:pPr>
              <w:pStyle w:val="Tekstpodstawowy"/>
              <w:jc w:val="center"/>
            </w:pPr>
          </w:p>
        </w:tc>
        <w:tc>
          <w:tcPr>
            <w:tcW w:w="7060" w:type="dxa"/>
            <w:hideMark/>
          </w:tcPr>
          <w:p w14:paraId="58672F4D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Badania wysyłane do Cerby i Biomnisu (m.in. 3099- Nikiel; 3901 - Dehydrogenaza glukozo-6-fosforanowa w krwince czerwonej ( G-6-PD); 3903 - Kinaza Pirogronianowa w krwince czerwonej (PK); 3912 - Aluminium (Glin); 4924 - Przeciwciała p/wirusowi wścieklizny; 4925 - Metylotransferaza tiopurynowa (TPMT); 5359 - HEV, RNA; 11073 - Magnez w erytrocytach</w:t>
            </w:r>
          </w:p>
        </w:tc>
        <w:tc>
          <w:tcPr>
            <w:tcW w:w="3440" w:type="dxa"/>
            <w:hideMark/>
          </w:tcPr>
          <w:p w14:paraId="098E88CD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Cerba, Biomnis</w:t>
            </w:r>
          </w:p>
        </w:tc>
        <w:tc>
          <w:tcPr>
            <w:tcW w:w="7020" w:type="dxa"/>
            <w:hideMark/>
          </w:tcPr>
          <w:p w14:paraId="3C22D333" w14:textId="77777777" w:rsidR="0046747F" w:rsidRPr="0046747F" w:rsidRDefault="0046747F" w:rsidP="0046747F">
            <w:pPr>
              <w:pStyle w:val="Tekstpodstawowy"/>
              <w:jc w:val="center"/>
            </w:pPr>
            <w:r w:rsidRPr="0046747F">
              <w:t>w Lublinie pobieramy do 1.06, ostatnia wysyłka z Krakowa realizowana jest 2.06, a następnie dopiero 9.06 we wtorek rano (</w:t>
            </w:r>
            <w:r w:rsidRPr="0046747F">
              <w:rPr>
                <w:b/>
                <w:bCs/>
              </w:rPr>
              <w:t>nie będzie wysyłki w czwartek 4.06).</w:t>
            </w:r>
            <w:r w:rsidRPr="0046747F">
              <w:br/>
              <w:t>Prosimy o uważne sprawdzanie stabilności!</w:t>
            </w:r>
          </w:p>
        </w:tc>
      </w:tr>
    </w:tbl>
    <w:p w14:paraId="691212AB" w14:textId="77777777" w:rsidR="00FE674E" w:rsidRDefault="00FE674E">
      <w:pPr>
        <w:pStyle w:val="Tekstpodstawowy"/>
      </w:pPr>
    </w:p>
    <w:p w14:paraId="75D7A0CA" w14:textId="77777777" w:rsidR="00FE674E" w:rsidRDefault="00FE674E">
      <w:pPr>
        <w:pStyle w:val="Tekstpodstawowy"/>
      </w:pPr>
    </w:p>
    <w:p w14:paraId="7DD6799D" w14:textId="77777777" w:rsidR="00FE674E" w:rsidRDefault="00FE674E">
      <w:pPr>
        <w:pStyle w:val="Tekstpodstawowy"/>
      </w:pPr>
    </w:p>
    <w:p w14:paraId="489CE67D" w14:textId="77777777" w:rsidR="00C34EB0" w:rsidRDefault="00C34EB0">
      <w:pPr>
        <w:pStyle w:val="Tekstpodstawowy"/>
      </w:pPr>
    </w:p>
    <w:p w14:paraId="1966F785" w14:textId="77777777" w:rsidR="00C34EB0" w:rsidRDefault="00C34EB0">
      <w:pPr>
        <w:pStyle w:val="Tekstpodstawowy"/>
      </w:pPr>
    </w:p>
    <w:p w14:paraId="45A52B5C" w14:textId="3F6FA0BD" w:rsidR="00AD533F" w:rsidRDefault="00C66741">
      <w:pPr>
        <w:pStyle w:val="Tekstpodstawowy"/>
      </w:pPr>
      <w:r>
        <w:t>La</w:t>
      </w:r>
      <w:r w:rsidR="00BC3B24">
        <w:t>boratorium będzie nieczynne</w:t>
      </w:r>
      <w:r w:rsidR="00100ED4">
        <w:t xml:space="preserve"> </w:t>
      </w:r>
      <w:r w:rsidR="0046747F">
        <w:t>4.06</w:t>
      </w:r>
      <w:r w:rsidR="00100ED4">
        <w:t>.2026.</w:t>
      </w:r>
    </w:p>
    <w:p w14:paraId="6C7D47E1" w14:textId="77777777" w:rsidR="00AD533F" w:rsidRDefault="00AD533F">
      <w:pPr>
        <w:pStyle w:val="Tekstpodstawowy"/>
        <w:spacing w:before="212"/>
      </w:pPr>
    </w:p>
    <w:p w14:paraId="1D3B6C51" w14:textId="77777777" w:rsidR="00AD533F" w:rsidRDefault="00000000">
      <w:pPr>
        <w:pStyle w:val="Tekstpodstawowy"/>
        <w:ind w:left="115"/>
        <w:rPr>
          <w:color w:val="000009"/>
          <w:spacing w:val="-2"/>
        </w:rPr>
      </w:pPr>
      <w:r>
        <w:rPr>
          <w:color w:val="000009"/>
        </w:rPr>
        <w:t>Z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wyrazami</w:t>
      </w:r>
      <w:r>
        <w:rPr>
          <w:color w:val="000009"/>
          <w:spacing w:val="-2"/>
        </w:rPr>
        <w:t xml:space="preserve"> szacunku,</w:t>
      </w:r>
    </w:p>
    <w:p w14:paraId="35D1AA23" w14:textId="79BDCF03" w:rsidR="004464FE" w:rsidRDefault="004464FE">
      <w:pPr>
        <w:pStyle w:val="Tekstpodstawowy"/>
        <w:ind w:left="115"/>
        <w:rPr>
          <w:color w:val="000009"/>
          <w:spacing w:val="-2"/>
        </w:rPr>
      </w:pPr>
      <w:r>
        <w:rPr>
          <w:color w:val="000009"/>
          <w:spacing w:val="-2"/>
        </w:rPr>
        <w:t>Sylwia Kamińska</w:t>
      </w:r>
    </w:p>
    <w:p w14:paraId="153DF023" w14:textId="5154835D" w:rsidR="004464FE" w:rsidRDefault="004464FE">
      <w:pPr>
        <w:pStyle w:val="Tekstpodstawowy"/>
        <w:ind w:left="115"/>
      </w:pPr>
      <w:r w:rsidRPr="004464FE">
        <w:t>Zastępca kierownika laboratorium</w:t>
      </w:r>
      <w:r>
        <w:t xml:space="preserve"> w Lublinie</w:t>
      </w:r>
    </w:p>
    <w:p w14:paraId="0BB7105C" w14:textId="2F59F6F4" w:rsidR="00AD533F" w:rsidRDefault="00AD533F">
      <w:pPr>
        <w:pStyle w:val="Tekstpodstawowy"/>
        <w:spacing w:before="2"/>
        <w:rPr>
          <w:sz w:val="11"/>
        </w:rPr>
      </w:pPr>
    </w:p>
    <w:sectPr w:rsidR="00AD533F">
      <w:type w:val="continuous"/>
      <w:pgSz w:w="11910" w:h="16840"/>
      <w:pgMar w:top="130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3F"/>
    <w:rsid w:val="000B4386"/>
    <w:rsid w:val="00100ED4"/>
    <w:rsid w:val="001B375E"/>
    <w:rsid w:val="00224C84"/>
    <w:rsid w:val="00245C42"/>
    <w:rsid w:val="0025452A"/>
    <w:rsid w:val="002E3DD1"/>
    <w:rsid w:val="00322DFE"/>
    <w:rsid w:val="003D66E4"/>
    <w:rsid w:val="003E05FC"/>
    <w:rsid w:val="00400045"/>
    <w:rsid w:val="004464FE"/>
    <w:rsid w:val="0046747F"/>
    <w:rsid w:val="00553BFA"/>
    <w:rsid w:val="005B28A2"/>
    <w:rsid w:val="006047EB"/>
    <w:rsid w:val="00605346"/>
    <w:rsid w:val="00633FEE"/>
    <w:rsid w:val="0075131A"/>
    <w:rsid w:val="007C7483"/>
    <w:rsid w:val="00802FA2"/>
    <w:rsid w:val="008348A5"/>
    <w:rsid w:val="0084756B"/>
    <w:rsid w:val="00894242"/>
    <w:rsid w:val="008C781E"/>
    <w:rsid w:val="008D353A"/>
    <w:rsid w:val="008E669E"/>
    <w:rsid w:val="00923EC9"/>
    <w:rsid w:val="009C26F3"/>
    <w:rsid w:val="00AA0DCF"/>
    <w:rsid w:val="00AD09B5"/>
    <w:rsid w:val="00AD533F"/>
    <w:rsid w:val="00AE1757"/>
    <w:rsid w:val="00B0168B"/>
    <w:rsid w:val="00B02DC3"/>
    <w:rsid w:val="00B60267"/>
    <w:rsid w:val="00BC3B24"/>
    <w:rsid w:val="00BD6478"/>
    <w:rsid w:val="00C02C3F"/>
    <w:rsid w:val="00C34EB0"/>
    <w:rsid w:val="00C66741"/>
    <w:rsid w:val="00D72863"/>
    <w:rsid w:val="00D8395F"/>
    <w:rsid w:val="00F81CD5"/>
    <w:rsid w:val="00FA0BAB"/>
    <w:rsid w:val="00FA1693"/>
    <w:rsid w:val="00FA68D3"/>
    <w:rsid w:val="00FE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0BF8"/>
  <w15:docId w15:val="{6870439F-46DC-4F9D-A669-152304F8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table" w:styleId="Tabela-Siatka">
    <w:name w:val="Table Grid"/>
    <w:basedOn w:val="Standardowy"/>
    <w:uiPriority w:val="39"/>
    <w:rsid w:val="00D72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678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Lizakowski</dc:creator>
  <cp:lastModifiedBy>Sylwia Kamińska</cp:lastModifiedBy>
  <cp:revision>10</cp:revision>
  <cp:lastPrinted>2026-04-23T10:09:00Z</cp:lastPrinted>
  <dcterms:created xsi:type="dcterms:W3CDTF">2026-03-23T14:36:00Z</dcterms:created>
  <dcterms:modified xsi:type="dcterms:W3CDTF">2026-05-22T11:25:00Z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dla Microsoft 365</vt:lpwstr>
  </property>
</Properties>
</file>